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7E63" w14:textId="77777777" w:rsidR="00E5553A" w:rsidRPr="00727412" w:rsidRDefault="00E5553A" w:rsidP="00E5553A">
      <w:pPr>
        <w:ind w:firstLine="0"/>
        <w:rPr>
          <w:b/>
          <w:bCs/>
        </w:rPr>
      </w:pPr>
      <w:bookmarkStart w:id="0" w:name="_GoBack"/>
      <w:bookmarkEnd w:id="0"/>
      <w:r w:rsidRPr="00727412">
        <w:rPr>
          <w:b/>
          <w:bCs/>
        </w:rPr>
        <w:t>Методика регистрации давления в шпуре</w:t>
      </w:r>
    </w:p>
    <w:p w14:paraId="2B3E90A1" w14:textId="77777777" w:rsidR="00E5553A" w:rsidRPr="00727412" w:rsidRDefault="00E5553A" w:rsidP="00E5553A">
      <w:r w:rsidRPr="00727412">
        <w:t xml:space="preserve">Способ регистрации предаваемых на штоки усилий при инициации разряда в шпуре изображен на рисунке 3.23. Рабочий разрядник представляет из себя часть электрической цепи, в которой места подключения контактов надежно изолированы друг от друга. Плотное закрепление в отверстии посредством закручивания гайки-фиксатора создает распирающие усилия, необходимые для герметизации системы. Наполнение штока жидкостью производится непосредственно перед фиксации оборудования в место инициации разряда. </w:t>
      </w:r>
    </w:p>
    <w:p w14:paraId="1A3F4349" w14:textId="77777777" w:rsidR="00E5553A" w:rsidRPr="00727412" w:rsidRDefault="00E5553A" w:rsidP="00E5553A">
      <w:pPr>
        <w:jc w:val="center"/>
      </w:pPr>
      <w:r w:rsidRPr="006745D4">
        <w:rPr>
          <w:noProof/>
        </w:rPr>
        <w:drawing>
          <wp:inline distT="0" distB="0" distL="0" distR="0" wp14:anchorId="288F1AF9" wp14:editId="150A8047">
            <wp:extent cx="4132040" cy="3470312"/>
            <wp:effectExtent l="0" t="0" r="190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7199" cy="34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51659" w14:textId="77777777" w:rsidR="00E5553A" w:rsidRPr="00727412" w:rsidRDefault="00E5553A" w:rsidP="00E5553A">
      <w:pPr>
        <w:pStyle w:val="a5"/>
      </w:pPr>
      <w:r w:rsidRPr="00727412">
        <w:t>Рисунок 3.23. Схема регистрируемых усилий</w:t>
      </w:r>
    </w:p>
    <w:p w14:paraId="46370B1B" w14:textId="77777777" w:rsidR="00E5553A" w:rsidRPr="00727412" w:rsidRDefault="00E5553A" w:rsidP="00E5553A">
      <w:r w:rsidRPr="00727412">
        <w:t xml:space="preserve">Инициация разряда передает всю накопленную энергию на </w:t>
      </w:r>
      <w:r>
        <w:t>разрядный промежуток</w:t>
      </w:r>
      <w:r w:rsidRPr="00727412">
        <w:t xml:space="preserve">, с соответствующими стадиями и механизмом разрушения образца при переходе электрической энергии в энергию ударной волны. Передаваемые усилия регистрируются датчиками детонации, провода которых защищены от помех экранированием. При этом, избежать электромагнитное воздействие разряда удается еще и за счет расположения датчиков на штоках, длина которых превышает зону действия </w:t>
      </w:r>
      <w:r w:rsidRPr="00727412">
        <w:lastRenderedPageBreak/>
        <w:t>электромагнитного импульса. Вдобавок, производится заземление корпуса стенда, чтобы избежать возможности воздействия токов наведения.</w:t>
      </w:r>
    </w:p>
    <w:p w14:paraId="48B1DC2E" w14:textId="77777777" w:rsidR="00E5553A" w:rsidRPr="00727412" w:rsidRDefault="00E5553A" w:rsidP="00E5553A">
      <w:r w:rsidRPr="00727412">
        <w:t>Для регистрации воздействия ударной волны на окружающие объекты был разработан испытательный стенд, предоставленный схематично на рисунке 3.24 и в натуре на рисунке 3.25. Продольно скользящие штоки своим основанием упираются в стенки образца. Обеспечивание плотного прилегания достигается за счет наличия пружинной связи. 3 штока расположены под углом 120 градусов относительно друг друга в горизонтальной плоскости и один в вертикальной. Названный способ снятия результатов измерений минимизирует вероятность возникновения помех. Результат разрушения образца представлен на рисунке 3.26.</w:t>
      </w:r>
    </w:p>
    <w:p w14:paraId="6A58B497" w14:textId="77777777" w:rsidR="00E5553A" w:rsidRPr="00727412" w:rsidRDefault="00E5553A" w:rsidP="00E5553A">
      <w:r w:rsidRPr="00727412">
        <w:t xml:space="preserve">Для снятия сигналов с датчиков применялось два двухканальных осциллографа </w:t>
      </w:r>
      <w:r w:rsidRPr="00727412">
        <w:rPr>
          <w:lang w:val="en-US"/>
        </w:rPr>
        <w:t>FNIRSI</w:t>
      </w:r>
      <w:r w:rsidRPr="00727412">
        <w:t xml:space="preserve"> 1014 </w:t>
      </w:r>
      <w:r w:rsidRPr="00727412">
        <w:rPr>
          <w:lang w:val="en-US"/>
        </w:rPr>
        <w:t>D</w:t>
      </w:r>
      <w:r w:rsidRPr="00727412">
        <w:t>.</w:t>
      </w:r>
    </w:p>
    <w:p w14:paraId="6814E390" w14:textId="77777777" w:rsidR="00E5553A" w:rsidRPr="00727412" w:rsidRDefault="00E5553A" w:rsidP="00E5553A">
      <w:pPr>
        <w:keepNext/>
        <w:ind w:firstLine="0"/>
      </w:pPr>
      <w:r w:rsidRPr="00727412">
        <w:rPr>
          <w:noProof/>
        </w:rPr>
        <w:drawing>
          <wp:inline distT="0" distB="0" distL="0" distR="0" wp14:anchorId="4EE7D1A6" wp14:editId="2E62AD70">
            <wp:extent cx="5391807" cy="288151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1677" cy="28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AFBEF" w14:textId="77777777" w:rsidR="00E5553A" w:rsidRPr="00727412" w:rsidRDefault="00E5553A" w:rsidP="00E5553A">
      <w:pPr>
        <w:pStyle w:val="a5"/>
      </w:pPr>
      <w:r w:rsidRPr="00727412">
        <w:t>Рисунок 3.24. Схема испытательного стенда</w:t>
      </w:r>
    </w:p>
    <w:p w14:paraId="174FB387" w14:textId="77777777" w:rsidR="00E5553A" w:rsidRPr="00727412" w:rsidRDefault="00E5553A" w:rsidP="00E5553A">
      <w:pPr>
        <w:keepNext/>
        <w:ind w:firstLine="0"/>
        <w:jc w:val="center"/>
      </w:pPr>
      <w:r w:rsidRPr="00727412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A47D41" wp14:editId="3365D8BE">
            <wp:extent cx="2885090" cy="3135538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243" cy="319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70241" w14:textId="77777777" w:rsidR="00E5553A" w:rsidRPr="00727412" w:rsidRDefault="00E5553A" w:rsidP="00E5553A">
      <w:pPr>
        <w:pStyle w:val="a5"/>
      </w:pPr>
      <w:r w:rsidRPr="00727412">
        <w:t>Рисунок 3.25. Фотография испытательного стенда</w:t>
      </w:r>
    </w:p>
    <w:p w14:paraId="0D0E6B02" w14:textId="77777777" w:rsidR="00E5553A" w:rsidRPr="00727412" w:rsidRDefault="00E5553A" w:rsidP="00E5553A">
      <w:pPr>
        <w:keepNext/>
        <w:spacing w:after="160" w:line="259" w:lineRule="auto"/>
        <w:ind w:firstLine="0"/>
        <w:contextualSpacing w:val="0"/>
        <w:jc w:val="center"/>
      </w:pPr>
      <w:r w:rsidRPr="00727412">
        <w:rPr>
          <w:rFonts w:eastAsiaTheme="majorEastAsia" w:cs="Times New Roman"/>
          <w:noProof/>
          <w:szCs w:val="28"/>
        </w:rPr>
        <w:drawing>
          <wp:inline distT="0" distB="0" distL="0" distR="0" wp14:anchorId="6538B85A" wp14:editId="4C0551E6">
            <wp:extent cx="4426233" cy="3028950"/>
            <wp:effectExtent l="0" t="0" r="0" b="0"/>
            <wp:docPr id="36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DE4209BF-D303-4FBC-9809-F9FF3B209A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DE4209BF-D303-4FBC-9809-F9FF3B209A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9421" cy="304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BD4B5" w14:textId="77777777" w:rsidR="00E5553A" w:rsidRPr="00727412" w:rsidRDefault="00E5553A" w:rsidP="00E5553A">
      <w:pPr>
        <w:pStyle w:val="a5"/>
        <w:rPr>
          <w:rFonts w:eastAsiaTheme="majorEastAsia" w:cs="Times New Roman"/>
          <w:szCs w:val="28"/>
        </w:rPr>
      </w:pPr>
      <w:r w:rsidRPr="00727412">
        <w:t>Рисунок 3.26. Результат разрушения образца</w:t>
      </w:r>
    </w:p>
    <w:p w14:paraId="158C31AC" w14:textId="77777777" w:rsidR="00E5553A" w:rsidRPr="00727412" w:rsidRDefault="00E5553A" w:rsidP="00E5553A">
      <w:r w:rsidRPr="00727412">
        <w:t>Выбор диапазона исследуемых параметров обусловлен экономической целесообразностью применения электрогидравлической установки для решения задачи. При работе на относительно малых напряжениях (до 25 кВ) по сравнению с возможным достижением напряжения порядка 200 кВ исследуемый диапазон будет представлен в линейном виде. В связи с этим предпочтительно проведение серии опытов в рамках двухуровневого трехфакторного эксперимента.</w:t>
      </w:r>
    </w:p>
    <w:p w14:paraId="3E5A4829" w14:textId="77777777" w:rsidR="00E5553A" w:rsidRPr="00727412" w:rsidRDefault="00E5553A" w:rsidP="00E5553A">
      <w:r w:rsidRPr="00727412">
        <w:lastRenderedPageBreak/>
        <w:t>Регистрация импульса давления инициируя разряд через проволоку происходила с помощью датчика детонации, для защиты которого от высокого напряжения принято решение установить его на штоки. При проведении каждого опыта образец разрушался, а пик давления ударной волны снимался датчиком.</w:t>
      </w:r>
    </w:p>
    <w:p w14:paraId="31A1BC99" w14:textId="77777777" w:rsidR="00E5553A" w:rsidRPr="008B6C3F" w:rsidRDefault="00E5553A" w:rsidP="00E5553A">
      <w:pPr>
        <w:rPr>
          <w:iCs/>
          <w:color w:val="000000" w:themeColor="text1"/>
          <w:sz w:val="24"/>
          <w:szCs w:val="18"/>
        </w:rPr>
      </w:pPr>
      <w:r w:rsidRPr="008B6C3F">
        <w:t xml:space="preserve">При исследовании бетона марки М300, выступающий в роли рабочей среды составлена таблица </w:t>
      </w:r>
      <w:r>
        <w:t>4</w:t>
      </w:r>
      <w:r w:rsidRPr="008B6C3F">
        <w:t xml:space="preserve">. </w:t>
      </w:r>
      <w:bookmarkStart w:id="1" w:name="_Hlk217518038"/>
      <w:r w:rsidRPr="008B6C3F">
        <w:t>К положительным наблюдениям относятся опыты, режимы разряда которых представлены порядковыми номерами 1…4. Наибольшее значение фактической величины давления ударной волны отмечено в таблице.</w:t>
      </w:r>
    </w:p>
    <w:p w14:paraId="24CD1991" w14:textId="77777777" w:rsidR="00E5553A" w:rsidRPr="00196093" w:rsidRDefault="00E5553A" w:rsidP="00E5553A">
      <w:pPr>
        <w:pStyle w:val="a5"/>
      </w:pPr>
      <w:r w:rsidRPr="00196093">
        <w:t>Таблица 4. Оценка режима разряда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07"/>
        <w:gridCol w:w="1068"/>
        <w:gridCol w:w="1069"/>
        <w:gridCol w:w="708"/>
        <w:gridCol w:w="1448"/>
        <w:gridCol w:w="1668"/>
      </w:tblGrid>
      <w:tr w:rsidR="00E5553A" w:rsidRPr="00196093" w14:paraId="1C12A7FB" w14:textId="77777777" w:rsidTr="00DD751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9D4D" w14:textId="77777777" w:rsidR="00E5553A" w:rsidRPr="00196093" w:rsidRDefault="00E5553A" w:rsidP="00DD7519">
            <w:pPr>
              <w:pStyle w:val="-14"/>
              <w:rPr>
                <w:sz w:val="24"/>
                <w:szCs w:val="24"/>
                <w:lang w:val="en-US"/>
              </w:rPr>
            </w:pPr>
            <w:r w:rsidRPr="00196093">
              <w:rPr>
                <w:sz w:val="24"/>
                <w:szCs w:val="24"/>
              </w:rPr>
              <w:t>№ режима разряда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73B5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Режим разряда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AD69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i/>
                <w:iCs/>
                <w:sz w:val="24"/>
                <w:szCs w:val="24"/>
                <w:lang w:val="en-GB"/>
              </w:rPr>
              <w:t>P</w:t>
            </w:r>
            <w:proofErr w:type="spellStart"/>
            <w:proofErr w:type="gramStart"/>
            <w:r w:rsidRPr="00196093">
              <w:rPr>
                <w:sz w:val="24"/>
                <w:szCs w:val="24"/>
                <w:vertAlign w:val="subscript"/>
              </w:rPr>
              <w:t>теор</w:t>
            </w:r>
            <w:proofErr w:type="spellEnd"/>
            <w:r w:rsidRPr="00196093">
              <w:rPr>
                <w:sz w:val="24"/>
                <w:szCs w:val="24"/>
                <w:vertAlign w:val="subscript"/>
              </w:rPr>
              <w:t> </w:t>
            </w:r>
            <w:r w:rsidRPr="00196093">
              <w:rPr>
                <w:sz w:val="24"/>
                <w:szCs w:val="24"/>
              </w:rPr>
              <w:t>,</w:t>
            </w:r>
            <w:proofErr w:type="gramEnd"/>
          </w:p>
          <w:p w14:paraId="11997A00" w14:textId="77777777" w:rsidR="00E5553A" w:rsidRPr="00196093" w:rsidRDefault="00E5553A" w:rsidP="00DD7519">
            <w:pPr>
              <w:pStyle w:val="-14"/>
              <w:rPr>
                <w:i/>
                <w:iCs/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МПа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1835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i/>
                <w:iCs/>
                <w:sz w:val="24"/>
                <w:szCs w:val="24"/>
                <w:lang w:val="en-GB"/>
              </w:rPr>
              <w:t>P</w:t>
            </w:r>
            <w:proofErr w:type="gramStart"/>
            <w:r w:rsidRPr="00196093">
              <w:rPr>
                <w:sz w:val="24"/>
                <w:szCs w:val="24"/>
                <w:vertAlign w:val="subscript"/>
              </w:rPr>
              <w:t>факт </w:t>
            </w:r>
            <w:r w:rsidRPr="00196093">
              <w:rPr>
                <w:sz w:val="24"/>
                <w:szCs w:val="24"/>
              </w:rPr>
              <w:t>,</w:t>
            </w:r>
            <w:proofErr w:type="gramEnd"/>
          </w:p>
          <w:p w14:paraId="7AAF8AA8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Мпа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5454" w14:textId="77777777" w:rsidR="00E5553A" w:rsidRPr="00196093" w:rsidRDefault="00E5553A" w:rsidP="00DD7519">
            <w:pPr>
              <w:pStyle w:val="-14"/>
              <w:rPr>
                <w:sz w:val="24"/>
                <w:szCs w:val="24"/>
                <w:vertAlign w:val="subscript"/>
              </w:rPr>
            </w:pPr>
            <w:r w:rsidRPr="00196093">
              <w:rPr>
                <w:i/>
                <w:iCs/>
                <w:sz w:val="24"/>
                <w:szCs w:val="24"/>
                <w:lang w:val="en-GB"/>
              </w:rPr>
              <w:t>k</w:t>
            </w:r>
            <w:proofErr w:type="spellStart"/>
            <w:r w:rsidRPr="00196093">
              <w:rPr>
                <w:sz w:val="24"/>
                <w:szCs w:val="24"/>
                <w:vertAlign w:val="subscript"/>
              </w:rPr>
              <w:t>отр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F9C1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Разлом на</w:t>
            </w:r>
          </w:p>
          <w:p w14:paraId="53EC0F6B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3…4 части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5F74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Разлом на 8 и более частей</w:t>
            </w:r>
          </w:p>
        </w:tc>
      </w:tr>
      <w:tr w:rsidR="00E5553A" w:rsidRPr="00196093" w14:paraId="79D41458" w14:textId="77777777" w:rsidTr="00DD751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FC9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D283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E041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F056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DB19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F57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ED9B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7</w:t>
            </w:r>
          </w:p>
        </w:tc>
      </w:tr>
      <w:tr w:rsidR="00E5553A" w:rsidRPr="00196093" w14:paraId="67028922" w14:textId="77777777" w:rsidTr="00DD7519">
        <w:trPr>
          <w:trHeight w:val="1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6748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3F9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i/>
                <w:iCs/>
                <w:sz w:val="24"/>
                <w:szCs w:val="24"/>
                <w:lang w:val="en-GB"/>
              </w:rPr>
              <w:t xml:space="preserve">U = </w:t>
            </w:r>
            <w:r w:rsidRPr="00196093">
              <w:rPr>
                <w:sz w:val="24"/>
                <w:szCs w:val="24"/>
              </w:rPr>
              <w:t>12</w:t>
            </w:r>
            <w:r w:rsidRPr="00196093">
              <w:rPr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кВ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0FA19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767A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F3719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1,8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188FB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+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0E94A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-</w:t>
            </w:r>
          </w:p>
        </w:tc>
      </w:tr>
      <w:tr w:rsidR="00E5553A" w:rsidRPr="00196093" w14:paraId="5C5937BC" w14:textId="77777777" w:rsidTr="00DD7519">
        <w:trPr>
          <w:trHeight w:val="13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19B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328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С =</w:t>
            </w:r>
            <w:r w:rsidRPr="00196093">
              <w:rPr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3</w:t>
            </w:r>
            <w:r w:rsidRPr="00196093">
              <w:rPr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мкФ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0E26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A3BE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4FE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DD5D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118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</w:tr>
      <w:tr w:rsidR="00E5553A" w:rsidRPr="00196093" w14:paraId="2E7621F8" w14:textId="77777777" w:rsidTr="00DD7519">
        <w:trPr>
          <w:trHeight w:val="1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C1823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6E5AE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i/>
                <w:iCs/>
                <w:sz w:val="24"/>
                <w:szCs w:val="24"/>
                <w:lang w:val="en-GB"/>
              </w:rPr>
              <w:t xml:space="preserve">U = </w:t>
            </w:r>
            <w:r w:rsidRPr="00196093">
              <w:rPr>
                <w:sz w:val="24"/>
                <w:szCs w:val="24"/>
              </w:rPr>
              <w:t>12</w:t>
            </w:r>
            <w:r w:rsidRPr="00196093">
              <w:rPr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кВ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644CA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9C789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8978E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  <w:p w14:paraId="18AAF2B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1,8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D0414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  <w:p w14:paraId="670271AB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+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F9771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  <w:p w14:paraId="2DF1C097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-</w:t>
            </w:r>
          </w:p>
        </w:tc>
      </w:tr>
      <w:tr w:rsidR="00E5553A" w:rsidRPr="00196093" w14:paraId="76108507" w14:textId="77777777" w:rsidTr="00DD7519">
        <w:trPr>
          <w:trHeight w:val="13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FB04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78CB7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i/>
                <w:iCs/>
                <w:sz w:val="24"/>
                <w:szCs w:val="24"/>
              </w:rPr>
              <w:t>С =</w:t>
            </w:r>
            <w:r w:rsidRPr="00196093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18</w:t>
            </w:r>
            <w:r w:rsidRPr="00196093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мкФ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E2B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383F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C4AA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0A8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375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</w:tr>
      <w:tr w:rsidR="00E5553A" w:rsidRPr="00196093" w14:paraId="038D2073" w14:textId="77777777" w:rsidTr="00DD7519">
        <w:trPr>
          <w:trHeight w:val="1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C6277" w14:textId="77777777" w:rsidR="00E5553A" w:rsidRPr="00196093" w:rsidRDefault="00E5553A" w:rsidP="00DD7519">
            <w:pPr>
              <w:pStyle w:val="-14"/>
              <w:rPr>
                <w:sz w:val="24"/>
                <w:szCs w:val="24"/>
                <w:lang w:val="en-US"/>
              </w:rPr>
            </w:pPr>
            <w:r w:rsidRPr="0019609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521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i/>
                <w:iCs/>
                <w:sz w:val="24"/>
                <w:szCs w:val="24"/>
                <w:lang w:val="en-GB"/>
              </w:rPr>
              <w:t xml:space="preserve">U = </w:t>
            </w:r>
            <w:r w:rsidRPr="00196093">
              <w:rPr>
                <w:sz w:val="24"/>
                <w:szCs w:val="24"/>
              </w:rPr>
              <w:t>20</w:t>
            </w:r>
            <w:r w:rsidRPr="00196093">
              <w:rPr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кВ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F9C5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CB8C2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8BB2D" w14:textId="77777777" w:rsidR="00E5553A" w:rsidRPr="00196093" w:rsidRDefault="00E5553A" w:rsidP="00DD7519">
            <w:pPr>
              <w:pStyle w:val="-14"/>
              <w:rPr>
                <w:sz w:val="24"/>
                <w:szCs w:val="24"/>
                <w:lang w:val="en-US"/>
              </w:rPr>
            </w:pPr>
            <w:r w:rsidRPr="00196093">
              <w:rPr>
                <w:sz w:val="24"/>
                <w:szCs w:val="24"/>
                <w:lang w:val="en-US"/>
              </w:rPr>
              <w:t>1</w:t>
            </w:r>
            <w:r w:rsidRPr="00196093">
              <w:rPr>
                <w:sz w:val="24"/>
                <w:szCs w:val="24"/>
              </w:rPr>
              <w:t>,</w:t>
            </w:r>
            <w:r w:rsidRPr="0019609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178E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706D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5553A" w:rsidRPr="00196093" w14:paraId="1136E55B" w14:textId="77777777" w:rsidTr="00DD7519">
        <w:trPr>
          <w:trHeight w:val="13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88CF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D68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С =</w:t>
            </w:r>
            <w:r w:rsidRPr="00196093">
              <w:rPr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3</w:t>
            </w:r>
            <w:r w:rsidRPr="00196093">
              <w:rPr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мкФ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715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DE6F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1007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D63A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84F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</w:tr>
      <w:tr w:rsidR="00E5553A" w:rsidRPr="00196093" w14:paraId="3F2728ED" w14:textId="77777777" w:rsidTr="00DD7519">
        <w:trPr>
          <w:trHeight w:val="1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981B2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E87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i/>
                <w:iCs/>
                <w:sz w:val="24"/>
                <w:szCs w:val="24"/>
                <w:lang w:val="en-GB"/>
              </w:rPr>
              <w:t xml:space="preserve">U = </w:t>
            </w:r>
            <w:r w:rsidRPr="00196093">
              <w:rPr>
                <w:sz w:val="24"/>
                <w:szCs w:val="24"/>
              </w:rPr>
              <w:t>20</w:t>
            </w:r>
            <w:r w:rsidRPr="00196093">
              <w:rPr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кВ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2D8F9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A9076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4EE10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1,8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DA491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-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F36D4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sz w:val="24"/>
                <w:szCs w:val="24"/>
              </w:rPr>
              <w:t>+</w:t>
            </w:r>
          </w:p>
        </w:tc>
      </w:tr>
      <w:tr w:rsidR="00E5553A" w:rsidRPr="0079659C" w14:paraId="2AEEBAAC" w14:textId="77777777" w:rsidTr="00DD7519">
        <w:trPr>
          <w:trHeight w:val="13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D1A1" w14:textId="77777777" w:rsidR="00E5553A" w:rsidRPr="00196093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CE7" w14:textId="77777777" w:rsidR="00E5553A" w:rsidRPr="0079659C" w:rsidRDefault="00E5553A" w:rsidP="00DD7519">
            <w:pPr>
              <w:pStyle w:val="-14"/>
              <w:rPr>
                <w:sz w:val="24"/>
                <w:szCs w:val="24"/>
              </w:rPr>
            </w:pPr>
            <w:r w:rsidRPr="00196093">
              <w:rPr>
                <w:i/>
                <w:iCs/>
                <w:sz w:val="24"/>
                <w:szCs w:val="24"/>
              </w:rPr>
              <w:t>С =</w:t>
            </w:r>
            <w:r w:rsidRPr="00196093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18</w:t>
            </w:r>
            <w:r w:rsidRPr="00196093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196093">
              <w:rPr>
                <w:sz w:val="24"/>
                <w:szCs w:val="24"/>
              </w:rPr>
              <w:t>мкФ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DF1" w14:textId="77777777" w:rsidR="00E5553A" w:rsidRPr="0079659C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27D" w14:textId="77777777" w:rsidR="00E5553A" w:rsidRPr="0079659C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A61" w14:textId="77777777" w:rsidR="00E5553A" w:rsidRPr="0079659C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1454" w14:textId="77777777" w:rsidR="00E5553A" w:rsidRPr="0079659C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B33B" w14:textId="77777777" w:rsidR="00E5553A" w:rsidRPr="0079659C" w:rsidRDefault="00E5553A" w:rsidP="00DD7519">
            <w:pPr>
              <w:pStyle w:val="-14"/>
              <w:rPr>
                <w:sz w:val="24"/>
                <w:szCs w:val="24"/>
              </w:rPr>
            </w:pPr>
          </w:p>
        </w:tc>
      </w:tr>
      <w:bookmarkEnd w:id="1"/>
    </w:tbl>
    <w:p w14:paraId="237C22F7" w14:textId="77777777" w:rsidR="00E5553A" w:rsidRDefault="00E5553A" w:rsidP="00E5553A"/>
    <w:p w14:paraId="6C562655" w14:textId="77777777" w:rsidR="00E5553A" w:rsidRPr="00525387" w:rsidRDefault="00E5553A" w:rsidP="00E5553A">
      <w:pPr>
        <w:pStyle w:val="a8"/>
        <w:ind w:left="0" w:firstLine="708"/>
        <w:rPr>
          <w:i/>
          <w:iCs/>
          <w:color w:val="000000" w:themeColor="text1"/>
          <w:sz w:val="24"/>
          <w:szCs w:val="18"/>
        </w:rPr>
      </w:pPr>
    </w:p>
    <w:p w14:paraId="40098B75" w14:textId="77777777" w:rsidR="00E5553A" w:rsidRPr="00000DDD" w:rsidRDefault="00E5553A" w:rsidP="00E5553A">
      <w:pPr>
        <w:ind w:firstLine="708"/>
        <w:rPr>
          <w:rFonts w:cs="Times New Roman"/>
        </w:rPr>
      </w:pPr>
      <w:r w:rsidRPr="00724480">
        <w:t xml:space="preserve">Уточненный коэффициент </w:t>
      </w:r>
      <w:r w:rsidRPr="00724480">
        <w:rPr>
          <w:i/>
          <w:iCs/>
          <w:lang w:val="en-US"/>
        </w:rPr>
        <w:t>k</w:t>
      </w:r>
      <w:proofErr w:type="spellStart"/>
      <w:r w:rsidRPr="00724480">
        <w:rPr>
          <w:vertAlign w:val="subscript"/>
        </w:rPr>
        <w:t>отр</w:t>
      </w:r>
      <w:proofErr w:type="spellEnd"/>
      <w:r w:rsidRPr="00724480">
        <w:t xml:space="preserve"> позволяет сделать ряд выводов об области применения технологии. По формуле (</w:t>
      </w:r>
      <w:r>
        <w:t>17</w:t>
      </w:r>
      <w:r w:rsidRPr="00724480">
        <w:t xml:space="preserve">) построены графики </w:t>
      </w:r>
      <w:r w:rsidRPr="00724480">
        <w:rPr>
          <w:rFonts w:cs="Times New Roman"/>
        </w:rPr>
        <w:t>σ</w:t>
      </w:r>
      <w:r w:rsidRPr="00724480">
        <w:t>(</w:t>
      </w:r>
      <w:r w:rsidRPr="00724480">
        <w:rPr>
          <w:i/>
          <w:iCs/>
          <w:lang w:val="en-US"/>
        </w:rPr>
        <w:t>f</w:t>
      </w:r>
      <w:r w:rsidRPr="00724480">
        <w:t xml:space="preserve">) </w:t>
      </w:r>
      <w:r w:rsidRPr="00724480">
        <w:br/>
        <w:t>(</w:t>
      </w:r>
      <w:r w:rsidRPr="00724480">
        <w:rPr>
          <w:i/>
          <w:iCs/>
          <w:lang w:val="en-US"/>
        </w:rPr>
        <w:t>k</w:t>
      </w:r>
      <w:proofErr w:type="spellStart"/>
      <w:r w:rsidRPr="00724480">
        <w:rPr>
          <w:vertAlign w:val="subscript"/>
        </w:rPr>
        <w:t>отр</w:t>
      </w:r>
      <w:proofErr w:type="spellEnd"/>
      <w:r w:rsidRPr="00724480">
        <w:t xml:space="preserve"> = 1) и </w:t>
      </w:r>
      <w:r w:rsidRPr="00724480">
        <w:rPr>
          <w:rFonts w:cs="Times New Roman"/>
        </w:rPr>
        <w:t>σ’(</w:t>
      </w:r>
      <w:r w:rsidRPr="00724480">
        <w:rPr>
          <w:rFonts w:cs="Times New Roman"/>
          <w:i/>
          <w:iCs/>
          <w:lang w:val="en-US"/>
        </w:rPr>
        <w:t>f</w:t>
      </w:r>
      <w:r w:rsidRPr="00724480">
        <w:rPr>
          <w:rFonts w:cs="Times New Roman"/>
        </w:rPr>
        <w:t xml:space="preserve">) </w:t>
      </w:r>
      <w:r w:rsidRPr="00724480">
        <w:t>(</w:t>
      </w:r>
      <w:r w:rsidRPr="00724480">
        <w:rPr>
          <w:i/>
          <w:iCs/>
          <w:lang w:val="en-US"/>
        </w:rPr>
        <w:t>k</w:t>
      </w:r>
      <w:proofErr w:type="spellStart"/>
      <w:r w:rsidRPr="00724480">
        <w:rPr>
          <w:vertAlign w:val="subscript"/>
        </w:rPr>
        <w:t>отр</w:t>
      </w:r>
      <w:proofErr w:type="spellEnd"/>
      <w:r w:rsidRPr="00724480">
        <w:t xml:space="preserve"> = 1,8) для заданного режима разряда (№</w:t>
      </w:r>
      <w:r w:rsidRPr="00937D8F">
        <w:t>2</w:t>
      </w:r>
      <w:r w:rsidRPr="00724480">
        <w:t>, таблица 3)</w:t>
      </w:r>
      <w:r w:rsidRPr="00724480">
        <w:rPr>
          <w:rFonts w:cs="Times New Roman"/>
        </w:rPr>
        <w:t xml:space="preserve">, а также </w:t>
      </w:r>
      <w:r w:rsidRPr="00724480">
        <w:rPr>
          <w:rFonts w:cs="Times New Roman"/>
          <w:i/>
          <w:iCs/>
          <w:lang w:val="en-US"/>
        </w:rPr>
        <w:t>V</w:t>
      </w:r>
      <w:r w:rsidRPr="00724480">
        <w:rPr>
          <w:rFonts w:cs="Times New Roman"/>
          <w:vertAlign w:val="subscript"/>
        </w:rPr>
        <w:t>ковш</w:t>
      </w:r>
      <w:r w:rsidRPr="00000DDD">
        <w:rPr>
          <w:rFonts w:cs="Times New Roman"/>
        </w:rPr>
        <w:t>(</w:t>
      </w:r>
      <w:r w:rsidRPr="00000DDD">
        <w:rPr>
          <w:rFonts w:cs="Times New Roman"/>
          <w:i/>
          <w:iCs/>
          <w:lang w:val="en-US"/>
        </w:rPr>
        <w:t>f</w:t>
      </w:r>
      <w:r w:rsidRPr="00000DDD">
        <w:rPr>
          <w:rFonts w:cs="Times New Roman"/>
        </w:rPr>
        <w:t xml:space="preserve">) (формула 3). </w:t>
      </w:r>
    </w:p>
    <w:p w14:paraId="4937D5A7" w14:textId="77777777" w:rsidR="00E5553A" w:rsidRPr="00000DDD" w:rsidRDefault="00E5553A" w:rsidP="00E5553A">
      <w:pPr>
        <w:ind w:firstLine="708"/>
        <w:rPr>
          <w:rFonts w:cs="Times New Roman"/>
        </w:rPr>
      </w:pPr>
      <w:r w:rsidRPr="00000DDD">
        <w:rPr>
          <w:rFonts w:cs="Times New Roman"/>
        </w:rPr>
        <w:t>Точки графика 1, 8 характеризуют тип разрушаемого материала, к обломкам которого осуществляется подбор ковша. Погрузка ковшом минимального размера, 0,3 м</w:t>
      </w:r>
      <w:r w:rsidRPr="00000DDD">
        <w:rPr>
          <w:rFonts w:cs="Times New Roman"/>
          <w:vertAlign w:val="superscript"/>
        </w:rPr>
        <w:t>3</w:t>
      </w:r>
      <w:r w:rsidRPr="00000DDD">
        <w:rPr>
          <w:rFonts w:cs="Times New Roman"/>
        </w:rPr>
        <w:t>, обеспечивается при разрушении тел, максимальный показатель предела прочности на растяжение которых составляет 3 МПа, что превышает предел прочности тел на растяжение при неуточненном коэффициенте на 76%.</w:t>
      </w:r>
    </w:p>
    <w:p w14:paraId="7E0C52D0" w14:textId="77777777" w:rsidR="00E5553A" w:rsidRPr="00000DDD" w:rsidRDefault="00E5553A" w:rsidP="00E5553A">
      <w:pPr>
        <w:ind w:firstLine="708"/>
      </w:pPr>
      <w:r w:rsidRPr="00000DDD">
        <w:rPr>
          <w:rFonts w:cs="Times New Roman"/>
        </w:rPr>
        <w:lastRenderedPageBreak/>
        <w:t xml:space="preserve">Точки 2, 7 определяют область применяемых при погрузке обломков в ковши для случая </w:t>
      </w:r>
      <w:r w:rsidRPr="00000DDD">
        <w:rPr>
          <w:i/>
          <w:iCs/>
          <w:lang w:val="en-US"/>
        </w:rPr>
        <w:t>k</w:t>
      </w:r>
      <w:proofErr w:type="spellStart"/>
      <w:r w:rsidRPr="00000DDD">
        <w:rPr>
          <w:vertAlign w:val="subscript"/>
        </w:rPr>
        <w:t>отр</w:t>
      </w:r>
      <w:proofErr w:type="spellEnd"/>
      <w:r w:rsidRPr="00000DDD">
        <w:t xml:space="preserve"> = 1,8; 2, 4 – для </w:t>
      </w:r>
      <w:r w:rsidRPr="00000DDD">
        <w:rPr>
          <w:i/>
          <w:iCs/>
          <w:lang w:val="en-US"/>
        </w:rPr>
        <w:t>k</w:t>
      </w:r>
      <w:proofErr w:type="spellStart"/>
      <w:r w:rsidRPr="00000DDD">
        <w:rPr>
          <w:vertAlign w:val="subscript"/>
        </w:rPr>
        <w:t>отр</w:t>
      </w:r>
      <w:proofErr w:type="spellEnd"/>
      <w:r w:rsidRPr="00000DDD">
        <w:t xml:space="preserve"> = 1. </w:t>
      </w:r>
    </w:p>
    <w:p w14:paraId="39D1EC06" w14:textId="77777777" w:rsidR="00E5553A" w:rsidRPr="00FE3BB6" w:rsidRDefault="00E5553A" w:rsidP="00E5553A">
      <w:pPr>
        <w:ind w:firstLine="0"/>
      </w:pPr>
      <w:r w:rsidRPr="00D406D7">
        <w:rPr>
          <w:noProof/>
        </w:rPr>
        <w:drawing>
          <wp:inline distT="0" distB="0" distL="0" distR="0" wp14:anchorId="0159D7F7" wp14:editId="6EBEC205">
            <wp:extent cx="5939790" cy="2694305"/>
            <wp:effectExtent l="0" t="0" r="381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882C3" w14:textId="77777777" w:rsidR="00E5553A" w:rsidRDefault="00E5553A" w:rsidP="00E5553A">
      <w:pPr>
        <w:pStyle w:val="a5"/>
      </w:pPr>
      <w:r w:rsidRPr="00FA642D">
        <w:t>Рисунок 16. График зависимости размера граней образовавшихся обломков от предела прочности разрушаемых тел на растяжения и объемов ковшей</w:t>
      </w:r>
    </w:p>
    <w:p w14:paraId="6F9D51D9" w14:textId="77777777" w:rsidR="00E5553A" w:rsidRPr="007D1381" w:rsidRDefault="00E5553A" w:rsidP="00E5553A">
      <w:pPr>
        <w:ind w:firstLine="708"/>
      </w:pPr>
      <w:r w:rsidRPr="007D1381">
        <w:t>Параметр позиционирования рабочего оборудования МЭШРМ (</w:t>
      </w:r>
      <w:r w:rsidRPr="007D1381">
        <w:rPr>
          <w:i/>
          <w:iCs/>
          <w:lang w:val="en-US"/>
        </w:rPr>
        <w:t>f</w:t>
      </w:r>
      <w:r w:rsidRPr="007D1381">
        <w:t>) увеличивается на 28% до значения 0,9</w:t>
      </w:r>
      <w:r w:rsidRPr="007D1381">
        <w:rPr>
          <w:i/>
          <w:iCs/>
        </w:rPr>
        <w:t xml:space="preserve"> </w:t>
      </w:r>
      <w:r w:rsidRPr="007D1381">
        <w:t>м (точка 9, рисунок 16). Диапазон применяемых ковшей также увеличился с 0,3 … 0,65 м</w:t>
      </w:r>
      <w:r w:rsidRPr="007D1381">
        <w:rPr>
          <w:vertAlign w:val="superscript"/>
        </w:rPr>
        <w:t>3</w:t>
      </w:r>
      <w:r w:rsidRPr="007D1381">
        <w:t xml:space="preserve"> по 0,3 … 1,5 м</w:t>
      </w:r>
      <w:r w:rsidRPr="007D1381">
        <w:rPr>
          <w:vertAlign w:val="superscript"/>
        </w:rPr>
        <w:t>3</w:t>
      </w:r>
      <w:r w:rsidRPr="007D1381">
        <w:t>.</w:t>
      </w:r>
    </w:p>
    <w:p w14:paraId="36D11731" w14:textId="77777777" w:rsidR="00F12C76" w:rsidRDefault="00F12C76" w:rsidP="006C0B77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231"/>
    <w:rsid w:val="00215BC2"/>
    <w:rsid w:val="00223F88"/>
    <w:rsid w:val="002E2EC5"/>
    <w:rsid w:val="006C0B77"/>
    <w:rsid w:val="00730231"/>
    <w:rsid w:val="00757D94"/>
    <w:rsid w:val="008242FF"/>
    <w:rsid w:val="00870751"/>
    <w:rsid w:val="00922C48"/>
    <w:rsid w:val="00B915B7"/>
    <w:rsid w:val="00D0153B"/>
    <w:rsid w:val="00E5553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185CC-9365-4C47-916C-53A2C80A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53A"/>
    <w:pPr>
      <w:spacing w:after="0" w:line="360" w:lineRule="auto"/>
      <w:ind w:firstLine="709"/>
      <w:contextualSpacing/>
      <w:jc w:val="both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57D94"/>
    <w:pPr>
      <w:spacing w:line="480" w:lineRule="auto"/>
      <w:ind w:firstLine="0"/>
      <w:jc w:val="center"/>
    </w:pPr>
    <w:rPr>
      <w:rFonts w:eastAsiaTheme="majorEastAsia" w:cs="Times New Roman"/>
      <w:b/>
      <w:bCs/>
      <w:spacing w:val="-10"/>
      <w:kern w:val="28"/>
      <w:szCs w:val="28"/>
    </w:rPr>
  </w:style>
  <w:style w:type="character" w:customStyle="1" w:styleId="a4">
    <w:name w:val="Заголовок Знак"/>
    <w:basedOn w:val="a0"/>
    <w:link w:val="a3"/>
    <w:uiPriority w:val="10"/>
    <w:rsid w:val="00757D94"/>
    <w:rPr>
      <w:rFonts w:ascii="Times New Roman" w:eastAsiaTheme="majorEastAsia" w:hAnsi="Times New Roman" w:cs="Times New Roman"/>
      <w:b/>
      <w:bCs/>
      <w:spacing w:val="-10"/>
      <w:kern w:val="28"/>
      <w:sz w:val="28"/>
      <w:szCs w:val="28"/>
    </w:rPr>
  </w:style>
  <w:style w:type="paragraph" w:styleId="a5">
    <w:name w:val="caption"/>
    <w:basedOn w:val="a"/>
    <w:next w:val="a"/>
    <w:link w:val="a6"/>
    <w:uiPriority w:val="35"/>
    <w:unhideWhenUsed/>
    <w:qFormat/>
    <w:rsid w:val="00215BC2"/>
    <w:pPr>
      <w:spacing w:after="200" w:line="240" w:lineRule="auto"/>
      <w:jc w:val="right"/>
    </w:pPr>
    <w:rPr>
      <w:iCs/>
      <w:sz w:val="24"/>
      <w:szCs w:val="18"/>
    </w:rPr>
  </w:style>
  <w:style w:type="character" w:customStyle="1" w:styleId="a6">
    <w:name w:val="Название объекта Знак"/>
    <w:basedOn w:val="a0"/>
    <w:link w:val="a5"/>
    <w:uiPriority w:val="35"/>
    <w:rsid w:val="00E5553A"/>
    <w:rPr>
      <w:rFonts w:ascii="Times New Roman" w:hAnsi="Times New Roman"/>
      <w:iCs/>
      <w:sz w:val="24"/>
      <w:szCs w:val="18"/>
    </w:rPr>
  </w:style>
  <w:style w:type="table" w:styleId="a7">
    <w:name w:val="Table Grid"/>
    <w:basedOn w:val="a1"/>
    <w:uiPriority w:val="59"/>
    <w:rsid w:val="00E5553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5553A"/>
    <w:pPr>
      <w:ind w:left="720"/>
    </w:pPr>
  </w:style>
  <w:style w:type="character" w:customStyle="1" w:styleId="a9">
    <w:name w:val="Абзац списка Знак"/>
    <w:basedOn w:val="a0"/>
    <w:link w:val="a8"/>
    <w:uiPriority w:val="34"/>
    <w:locked/>
    <w:rsid w:val="00E5553A"/>
    <w:rPr>
      <w:rFonts w:ascii="Times New Roman" w:hAnsi="Times New Roman"/>
      <w:kern w:val="0"/>
      <w:sz w:val="28"/>
    </w:rPr>
  </w:style>
  <w:style w:type="paragraph" w:customStyle="1" w:styleId="-14">
    <w:name w:val="Таблица - 14"/>
    <w:basedOn w:val="a"/>
    <w:link w:val="-140"/>
    <w:qFormat/>
    <w:rsid w:val="00E5553A"/>
    <w:pPr>
      <w:spacing w:line="240" w:lineRule="auto"/>
      <w:ind w:firstLine="0"/>
    </w:pPr>
  </w:style>
  <w:style w:type="character" w:customStyle="1" w:styleId="-140">
    <w:name w:val="Таблица - 14 Знак"/>
    <w:basedOn w:val="a0"/>
    <w:link w:val="-14"/>
    <w:rsid w:val="00E5553A"/>
    <w:rPr>
      <w:rFonts w:ascii="Times New Roman" w:hAnsi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Барсуков</dc:creator>
  <cp:keywords/>
  <dc:description/>
  <cp:lastModifiedBy>Вячеслав Барсуков</cp:lastModifiedBy>
  <cp:revision>2</cp:revision>
  <dcterms:created xsi:type="dcterms:W3CDTF">2026-01-23T17:48:00Z</dcterms:created>
  <dcterms:modified xsi:type="dcterms:W3CDTF">2026-01-23T17:51:00Z</dcterms:modified>
</cp:coreProperties>
</file>